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libri" w:hAnsi="Calibri" w:eastAsia="Times New Roman" w:cs="Calibri"/>
          <w:b/>
          <w:b/>
          <w:bCs/>
          <w:color w:val="000000"/>
          <w:sz w:val="36"/>
          <w:szCs w:val="36"/>
          <w:u w:val="single"/>
          <w:lang w:val="ca-ES" w:eastAsia="es-ES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36"/>
          <w:szCs w:val="36"/>
          <w:u w:val="single"/>
          <w:lang w:val="ca-ES" w:eastAsia="es-ES"/>
        </w:rPr>
        <w:t>Informe Associacionisme i Acció Comunitària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val="ca-ES" w:eastAsia="es-ES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ca-ES" w:eastAsia="es-ES"/>
        </w:rPr>
        <w:t>Definició de l’acció comunitària i d’associacionisme</w:t>
      </w:r>
    </w:p>
    <w:p>
      <w:pPr>
        <w:pStyle w:val="Normal"/>
        <w:spacing w:lineRule="auto" w:line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Tenint en compte que no hi ha un consens, des de l’acadèmia, en una definició d’acció comunitària, hem recorregut a la Guia operativa d’avaluació de l’acció comunitària elaborada per l’ajuntament de Barcelona i l’IGOP per tal de fer una definició amb la qual ens sentim còmodes i reflectits des del moviment associatiu. 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L’acció comunitària ens parla de gent que s’organitza per fer coses conjuntament (treballar col·lectivament objectius col·lectius). Té en compte diverses formes de participació, des de la purament ciutadana a la participació que involucra serveis públics i professionals d’àmbits diversos, ja que no és una intervenció pròpia d’un determinat àmbit d’acció social, ni d’uns professionals específics. Així doncs, des de la perspectiva de la guia esmentada i en un sentit ampli, es podria pensar en accions comunitàries desenvolupades de manera autònoma, independents de l’acció de les institucions públiques. 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L’acció comunitària mostra una doble cara: la que té a veure amb la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millora de certes condicions de vida de la gent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com poden ser problemes col·lectius, millora del barri etc. i la que té a veure amb els processos d’enfortiment ciutadà, que seran necessaris perquè la gent pugui ser protagonista, i que tenen a veure amb les formes d’organització col·lectiva i de participació veïnals, i amb les estratègies i les formes de relació entre persones, les entitats i els serveis públics.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Així, doncs, en un sentit molt ampli o general, es podria enumerar els objectius següents per a l’acció comunitària: 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a) Construir processos planificats per a la millora de les polítiques públiques i dels serveis públics a través de la implicació i de la cooperació de la ciutadania, del treball coordinat entre professionals i serveis, i d’un clima de consens, proactivitat i coresponsabilitat al voltant de la intervenció pública. 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b) Construcció de ciutadania,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empoderament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o enfortiment ciutadà: com a procés de responsabilització individual i col·lectiu. També podríem parlar aquí de creació de pertinença, capital social, de vincles, de confiança, de xarxes socials, etc. 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c) Les transformacions en les condicions de vida i la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creació de noves oportunitats per fer front a carències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i necessitats de la població, mitjançant la construcció d’espais de convivència. 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-123825</wp:posOffset>
            </wp:positionH>
            <wp:positionV relativeFrom="paragraph">
              <wp:posOffset>1306195</wp:posOffset>
            </wp:positionV>
            <wp:extent cx="5400040" cy="3114040"/>
            <wp:effectExtent l="0" t="0" r="0" b="0"/>
            <wp:wrapSquare wrapText="bothSides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>d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) La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inclusió social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>, en el sentit d’una clara intencionalitat de no deixar ningú fora, de comptar amb tothom i treballar per tothom, i no per a la millora de les condicions de vida de només unes quantes persones. Incorporant en els processos als col·lectius més vulnerables. 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Entenem per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associacionisme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aquell fenomen social que té com a principi la  voluntat </w:t>
      </w:r>
      <w:r>
        <w:rPr>
          <w:rFonts w:eastAsia="Times New Roman" w:cs="Calibri"/>
          <w:color w:val="222222"/>
          <w:sz w:val="24"/>
          <w:szCs w:val="24"/>
          <w:lang w:val="ca-ES" w:eastAsia="es-ES"/>
        </w:rPr>
        <w:t>de diversos individus d'unir-se en col·lectius (associacions) per assolir uns objectius predeterminats o satisfer uns interessos específics. És la base de la societat civil, ja que a través de les associacions es canalitzen les inquietuds de la gent i es potencia l'activitat cívica dels ciutadans. L'associacionisme té com a objectiu principal millorar l'espai públic i transformar la realitat a través de la participació social, organitzant i planificant accions prèviament reflexionades per un col·lectiu de persones que volen millorar la qualitat de vida pròpia i dels seus veïns. 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Tenint en compte les dues definicions, queda clar que, tots dos conceptes, tenen molts punts en comú, com per exemple la promoció de la inclusió social i les millores de qualitat de vida  a través de la participació ciutadana i l’empoderament d’aquesta. Així doncs, té sentit promoure l’associacionisme en clau d’acció comunitària ja que l’enforteix i el capacita per tal de transformar la realitat més immediata, dit d’una altra manera, l’acció comunitària és una eina imprescindible de l’associacionisme a l’hora de treballar i fer incidència per tal de promoure transformació. </w:t>
      </w:r>
    </w:p>
    <w:p>
      <w:pPr>
        <w:pStyle w:val="Normal"/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En definitiva, l’acció comunitària comprèn tots aquells tipus d’accions i de projectes que es fan col·lectivament per a millorar les condicions de vida de les persones. Han d’estar participats d’alguna manera, per tant, des de i per a la societat, donant respostes col·lectives a problemes i necessitats col·lectives. A més de promoure aquesta transformació social que millori les condicions de vida de les persones que formen part de la comunitat, el propi procés i resultats han de ser empoderadors i emancipadors, enfortint la comunitat i aprofundint en valors democràtics. I el treball per a la comunitat ha d’apostar per abraçar-la tota, d’una forma inclusiva i cohesionadora.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ca-ES" w:eastAsia="es-ES"/>
        </w:rPr>
        <w:t>2. Conceptes i punts en comú de l’acció comunitària i l’associacionisme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val="ca-ES" w:eastAsia="es-ES"/>
        </w:rPr>
        <w:t>Inclusió socia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l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: és un concepte teòric relativament recent que analitza els diferents àmbits que faciliten que els ciutadans visquin i es desenvolupin com a tals en les societats modernes actuals. Moltes vegades, però, per facilitar-ne la comprensió, es recorre a la seva antítesi, l’exclusió social que es podria definir com </w:t>
      </w:r>
      <w:r>
        <w:rPr>
          <w:rFonts w:eastAsia="Times New Roman" w:cs="Calibri"/>
          <w:i/>
          <w:iCs/>
          <w:color w:val="000000"/>
          <w:sz w:val="24"/>
          <w:szCs w:val="24"/>
          <w:lang w:val="ca-ES" w:eastAsia="es-ES"/>
        </w:rPr>
        <w:t xml:space="preserve"> un procés social de pèrdua d'integració que inclou no només la manca d'ingressos i l'allunyament del mercat de treball, sinó també un descens de la participació social i, per tant, una pèrdua de drets socials 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>(Laparra, 1999).  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Així com manquen indicadors i comparatives per poder avaluar la inclusió, n’hi ha per poder avaluar la exclusió i aquests s’usaran per mesurar la inclusió. Alguns dels ítems a tenir en compte seran: 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Eix econòmic:  conjunt de dificultats o barreres que pateix un individu en ocupació, ingressos, privació...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Eix polític o de ciutadania; els drets polítics, accés a l’educació, la salut o l'habitatge...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Eix de les relacions socials: xarxa de relacions, aïllament social, desubicació etc. </w:t>
      </w:r>
    </w:p>
    <w:p>
      <w:pPr>
        <w:pStyle w:val="Normal"/>
        <w:spacing w:lineRule="auto" w:line="360"/>
        <w:ind w:left="36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La inclusió social posa especial èmfasi en la participació dels individus en la vida social, és a dir, en la possibilitat d’exercir els drets de ciutadania i disposar d’una xarxa de relacions socials fortes (família, amics, veïns, etc). A més, també contempla molts altres aspectes, com ara un grau baix d’instrucció, la incompetència lingüística, el treball precari, l’economia submergida, viure en habitatges degradats. 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L’associacionisme pot ser un potencial espai d’inclusió, ja que facilita aspectes com l’adquisició de vincles i xarxa o la participació i l’empoderament de les persones que hi formen part. Malgrat tot, no totes les associacions treballen per a ser inclusives, de fet a nivell general i excepte algunes honroses excepcions, l’associacionisme sovint peca de ser massa poc divers, tant en conjunt, com a nivell particular de cada associació.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val="ca-ES" w:eastAsia="es-ES"/>
        </w:rPr>
        <w:t>Empoderament individual i  col·lectiu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: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Procés pel qual les persones agafen el poder, s’organitzen i prenen decisions. Segons Ernesto Morales (2016) “el trànsit i el procés de “no tenir” poder a “tenir-lo” és el que s’entén per empoderament, sent, de manera simultània, un procés i un estat ( aconseguit o a ser aconseguit).” A més, destaca que el concepte anglosaxó, </w:t>
      </w:r>
      <w:r>
        <w:rPr>
          <w:rFonts w:eastAsia="Times New Roman" w:cs="Calibri"/>
          <w:i/>
          <w:iCs/>
          <w:color w:val="000000"/>
          <w:sz w:val="24"/>
          <w:szCs w:val="24"/>
          <w:lang w:val="ca-ES" w:eastAsia="es-ES"/>
        </w:rPr>
        <w:t>Empowerment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>, contempla dues dimensions:  la de la possessió de poder i la del procés o aprenentatge per accedir a aquest. Segons diversos autors la creació d’aquest poder ha de sorgir pel seus propis protagonistes (individus, grups i comunitats) i no es planteja com alguna cosa atorgada des de fora. 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A la vegada que les persones participants s’empoderen individualment és possible que es produeixi aquest empoderament col·lectiu. El món associatiu és una veritable escola d’empoderament, ja que els processos que s’hi duen a terme al seu interior possibiliten que les persones participin, prenguin decisions, s’organitzin, adquireixin responsabilitats...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highlight w:val="white"/>
          <w:lang w:val="ca-ES" w:eastAsia="es-ES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val="ca-ES" w:eastAsia="es-ES"/>
        </w:rPr>
        <w:t>Transformació Socia</w:t>
      </w:r>
      <w:r>
        <w:rPr>
          <w:rFonts w:eastAsia="Times New Roman" w:cs="Calibri"/>
          <w:color w:val="000000"/>
          <w:sz w:val="24"/>
          <w:szCs w:val="24"/>
          <w:u w:val="single"/>
          <w:lang w:val="ca-ES" w:eastAsia="es-ES"/>
        </w:rPr>
        <w:t>l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val="ca-ES" w:eastAsia="es-ES"/>
        </w:rPr>
        <w:t xml:space="preserve"> i millora de les condicions de vida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: és </w:t>
      </w:r>
      <w:r>
        <w:rPr>
          <w:rFonts w:eastAsia="Times New Roman" w:cs="Calibri"/>
          <w:color w:val="000000"/>
          <w:sz w:val="24"/>
          <w:szCs w:val="24"/>
          <w:shd w:fill="FFFFFF" w:val="clear"/>
          <w:lang w:val="ca-ES" w:eastAsia="es-ES"/>
        </w:rPr>
        <w:t xml:space="preserve">voluntat d’implicació en el 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>nostre</w:t>
      </w:r>
      <w:r>
        <w:rPr>
          <w:rFonts w:eastAsia="Times New Roman" w:cs="Calibri"/>
          <w:color w:val="000000"/>
          <w:sz w:val="24"/>
          <w:szCs w:val="24"/>
          <w:shd w:fill="FFFFFF" w:val="clear"/>
          <w:lang w:val="ca-ES" w:eastAsia="es-ES"/>
        </w:rPr>
        <w:t xml:space="preserve"> entorn, proper o llunyà, amb l’objectiu de provocar un canvi. L’associacionisme quan fa acció comunitària és conscient i compromès amb el món que ens envolta. És capaç d’analitzar-lo i detectar quines mancances i necessitats té  i genera estratègies i eines que serveixin fer-lo més habitable, vivible. </w:t>
      </w:r>
    </w:p>
    <w:p>
      <w:pPr>
        <w:pStyle w:val="Normal"/>
        <w:spacing w:lineRule="auto" w:line="360"/>
        <w:ind w:left="360" w:hanging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highlight w:val="white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shd w:fill="FFFFFF" w:val="clear"/>
          <w:lang w:val="ca-ES" w:eastAsia="es-ES"/>
        </w:rPr>
        <w:t>La base del procés que duu a la transformació social és similar a la dels projectes que poden dur a terme cada any les associacions: identificar una necessitat i plantejar-se uns objectius i unes accions per a transformar la realitat. És important tenir en compte, però, que aquest procés no està exempt de riscos i reptes, i cal vigilar de no quedar-se massa en la superficialitat de les qüestions que es tracten, de manera que es canviïn només les aparences i no el fons, com assenyala Peribánez (2015). Aquest procés ha d’estar sempre adaptat a les capacitats pròpies, les quals, però, no l’han de limitar, ja que la mateixa acció transformadora és una via més d’aprenentatge, autoconeixement i empoderament.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spacing w:lineRule="auto" w:line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val="ca-ES" w:eastAsia="es-ES"/>
        </w:rPr>
        <w:t>Territorial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: una de les potencialitats, tant de l’acció comunitària com de l’associacionisme, és la intervenció local de l’acció social. Al fer-se a nivell de barri, l’impacte és més gran, és possible una inclusió real i generar sentiment de pertinença, com també la potencialitat de millorar les condicions de vida i transformar. Les associacions són agrupacions de </w:t>
      </w:r>
    </w:p>
    <w:p>
      <w:pPr>
        <w:pStyle w:val="Normal"/>
        <w:numPr>
          <w:ilvl w:val="1"/>
          <w:numId w:val="5"/>
        </w:numPr>
        <w:tabs>
          <w:tab w:val="left" w:pos="720" w:leader="none"/>
        </w:tabs>
        <w:spacing w:lineRule="auto" w:line="360"/>
        <w:ind w:left="36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val="ca-ES" w:eastAsia="es-ES"/>
        </w:rPr>
        <w:t>Capital Social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: Segons Barreiro (2003) </w:t>
      </w: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el capital social són les institucions, el conjunt de relacions, actituds i valors que determinen les interrelacions entre les persones i que impliquen, a la vegada, l’existència d’una xarxa social que produeix utilitats i beneficis a les persones que hi participen. Dit de manera més formal, són les normes i xarxes que permeten a la gent actuar de manera col·lectiva, sent la confiança</w:t>
      </w: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val="ca-ES" w:eastAsia="es-ES"/>
        </w:rPr>
        <w:t xml:space="preserve"> u</w:t>
      </w: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n dels components principals de les normes i valors que el determinen.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222222"/>
          <w:sz w:val="24"/>
          <w:szCs w:val="24"/>
          <w:shd w:fill="FFFFFF" w:val="clear"/>
          <w:lang w:val="ca-ES" w:eastAsia="es-ES"/>
        </w:rPr>
        <w:t>Les comunitats que tenen un ventall divers de xarxes socials i associacions cíviques es troben en millor situació per resoldre els seus problemes o per satisfer les seves necessitats</w:t>
      </w: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. El capital social d’un individu està constituït per les seves relacions amb altres, i també per les altres persones i les relacions que pot trobar a través d’aquells amb els quals està directament relacionat.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 </w:t>
      </w: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El capital social fa referència a les capacitats de les persones d’una societat  determinada per:</w:t>
      </w:r>
    </w:p>
    <w:p>
      <w:pPr>
        <w:pStyle w:val="ListParagraph"/>
        <w:numPr>
          <w:ilvl w:val="0"/>
          <w:numId w:val="8"/>
        </w:numPr>
        <w:spacing w:lineRule="auto" w:line="360"/>
        <w:ind w:left="993" w:hanging="284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Subordinar els interessos individuals immediats als dels grups més grans.</w:t>
      </w:r>
    </w:p>
    <w:p>
      <w:pPr>
        <w:pStyle w:val="ListParagraph"/>
        <w:numPr>
          <w:ilvl w:val="0"/>
          <w:numId w:val="8"/>
        </w:numPr>
        <w:spacing w:lineRule="auto" w:line="360"/>
        <w:ind w:left="993" w:hanging="284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Treballar junts cap a objectius comuns o en benefici mutu.</w:t>
      </w: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val="ca-ES" w:eastAsia="es-ES"/>
        </w:rPr>
        <w:t> </w:t>
      </w:r>
    </w:p>
    <w:p>
      <w:pPr>
        <w:pStyle w:val="ListParagraph"/>
        <w:numPr>
          <w:ilvl w:val="0"/>
          <w:numId w:val="8"/>
        </w:numPr>
        <w:spacing w:lineRule="auto" w:line="360"/>
        <w:ind w:left="993" w:hanging="284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Associar-se, organitzar-se de forma col·lectiva.</w:t>
      </w:r>
    </w:p>
    <w:p>
      <w:pPr>
        <w:pStyle w:val="ListParagraph"/>
        <w:numPr>
          <w:ilvl w:val="0"/>
          <w:numId w:val="8"/>
        </w:numPr>
        <w:spacing w:lineRule="auto" w:line="360"/>
        <w:ind w:left="993" w:hanging="284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shd w:fill="FFFFFF" w:val="clear"/>
          <w:lang w:val="ca-ES" w:eastAsia="es-ES"/>
        </w:rPr>
        <w:t>Compartir valors i normes, i formar grups i organitzacions estables.</w:t>
      </w:r>
    </w:p>
    <w:p>
      <w:pPr>
        <w:pStyle w:val="ListParagraph"/>
        <w:spacing w:lineRule="auto" w:line="360"/>
        <w:ind w:left="1776" w:hanging="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222222"/>
          <w:sz w:val="28"/>
          <w:szCs w:val="28"/>
          <w:lang w:val="ca-ES" w:eastAsia="es-ES"/>
        </w:rPr>
        <w:t>3. Perquè parlem d’Acció Comunitària i no de Treball en Xarxa?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Des de l’acadèmia s’ha emprat el terme xarxa per sintetitzar les característiques d’aquelles estructures organitzatives que incorporen factors de col·laboració, intersecció i relació entre els seus components. Una organització-xarxa seria aquella en la qual s’opera des de: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567" w:hanging="360"/>
        <w:jc w:val="both"/>
        <w:textAlignment w:val="baseline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La necessitat d’incorporar actors múltiples en la decisió i l’execució de les seves activitats 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567" w:hanging="360"/>
        <w:jc w:val="both"/>
        <w:textAlignment w:val="baseline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La necessitat d’una interacció continuada entre aquests actors que permeti no sols intercanviar recursos, sinó també negociar i establir els objectius comuns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567" w:hanging="360"/>
        <w:jc w:val="both"/>
        <w:textAlignment w:val="baseline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La necessitat que aquesta interacció es basi en la confiança i es reguli a través de regles negociades i acordades entre les parts</w:t>
      </w:r>
    </w:p>
    <w:p>
      <w:pPr>
        <w:pStyle w:val="Normal"/>
        <w:numPr>
          <w:ilvl w:val="0"/>
          <w:numId w:val="6"/>
        </w:numPr>
        <w:spacing w:lineRule="auto" w:line="360"/>
        <w:ind w:left="567" w:hanging="360"/>
        <w:jc w:val="both"/>
        <w:textAlignment w:val="baseline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El reconeixement de nivells significatius d’autonomia i autoregulació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El treball en xarxa és un procés de treball de tipus cooperatiu que s’estableix entre diversos actors del territori, a través del qual s’arriba a un objectiu comú, partint d’una necessitat compartida. El treball en xarxa implica coordinar, col·laborar, cooperar i compartir recursos i informació. Entre altres qüestions, el treball en xarxa permet optimitzar els recursos. En una xarxa s’han d’articular diferents nivells de treball i dinàmiques, amb diversos perfils d’actors i de recursos. Ha de ser prou oberta, estable, amb voluntat d’integració d’altres espais de treball o transversals; la seva finalitat és impulsar, legitimar, orientar estratègicament les accions i les iniciatives, i recollir o produir coneixement adient i útil per al repte de promoure condicions per a la inclusió i la cohesió socials</w:t>
      </w:r>
    </w:p>
    <w:p>
      <w:pPr>
        <w:pStyle w:val="Normal"/>
        <w:spacing w:lineRule="auto" w:line="360"/>
        <w:ind w:firstLine="2"/>
        <w:jc w:val="both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  <w:t>Si bé, aquest tipus d’estratègia a l’hora de treballar és molt positiva i hauria de ser intrínseca en l’associacionisme, es parla d’acció comunitària enlloc de treball en xarxa per la intenció d’anar més enllà i promoure aquesta transformació i l’empoderament. Entenem que el treball en xarxa és la manera en què s’haurà de dur a terme l’acció comunitària, però que no necessàriament tot el treball en xarxa és acció comunitària. Per exemple: Que dues associacions d’un barri col·laborin per dur a terme el carnestoltes es considerarà treball en xarxa, no acció comunitària. </w:t>
      </w:r>
    </w:p>
    <w:p>
      <w:pPr>
        <w:pStyle w:val="Normal"/>
        <w:spacing w:lineRule="auto" w:line="360"/>
        <w:ind w:firstLine="2"/>
        <w:jc w:val="both"/>
        <w:rPr>
          <w:rFonts w:ascii="Calibri" w:hAnsi="Calibri" w:eastAsia="Times New Roman" w:cs="Calibri"/>
          <w:color w:val="222222"/>
          <w:sz w:val="24"/>
          <w:szCs w:val="24"/>
          <w:lang w:val="ca-ES" w:eastAsia="es-ES"/>
        </w:rPr>
      </w:pPr>
      <w:r>
        <w:rPr>
          <w:rFonts w:eastAsia="Times New Roman" w:cs="Calibri"/>
          <w:color w:val="222222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ca-ES" w:eastAsia="es-ES"/>
        </w:rPr>
        <w:t>4. Valors, pràctiques i experiències de l’associacionisme que generen acció comunitària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A continuació s’enumeren diversos conceptes que es troben intrínsecs en</w:t>
      </w:r>
      <w:r>
        <w:rPr>
          <w:rFonts w:eastAsia="Times New Roman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>l’associacionisme i que són rellevants per generar espais i contextos d’acció comunitària. 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Participació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Voluntariat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Democràcia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Educació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Espai públic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Sostenibilitat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Transversalitat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Cooperació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Compromís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Interculturalitat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Solidaritat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Feminismes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Esperit Crític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Coresponsabilitat</w:t>
      </w:r>
    </w:p>
    <w:p>
      <w:pPr>
        <w:pStyle w:val="Normal"/>
        <w:numPr>
          <w:ilvl w:val="1"/>
          <w:numId w:val="7"/>
        </w:numPr>
        <w:spacing w:lineRule="auto" w:line="360"/>
        <w:ind w:left="1080" w:hanging="36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Governança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ca-ES" w:eastAsia="es-ES"/>
        </w:rPr>
        <w:t>5. Reptes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Val a dir que no totes les associacions de Barcelona realitzen treball en xarxa ni molt menys acció comunitària. Aquest és un dels principals reptes,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comunicar què significa Acció comunitària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i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els beneficis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que aquesta aporta en l’associació i en les possibilitats de respondre a les necessitats de la ciutadania. A més, caldrà fer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diagnòstics comunitaris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de manera participativa i inclusiva per tal de conèixer quines són les necessitats de la ciutadania, com des de l’associacionisme es treballa per donar-hi resposta i on es clarifiqui perquè l’acció comunitària és la millor metodologia per donar-li resposta.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Altres reptes que se’ns plantegen són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identificar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aquells </w:t>
      </w:r>
      <w:r>
        <w:rPr>
          <w:rFonts w:eastAsia="Times New Roman" w:cs="Calibri"/>
          <w:b/>
          <w:bCs/>
          <w:color w:val="000000"/>
          <w:sz w:val="24"/>
          <w:szCs w:val="24"/>
          <w:lang w:val="ca-ES" w:eastAsia="es-ES"/>
        </w:rPr>
        <w:t>processos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 que s’estan duent a terme i determinar si són, o no, acció comunitària, com podrien reconvertir-se en aquesta, si és que és necessari, si s’estan duent a terme accions de treball en xarxa i això ja es suficient... </w:t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Calibri" w:hAnsi="Calibri" w:eastAsia="Times New Roman" w:cs="Calibri"/>
          <w:color w:val="000000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ca-ES" w:eastAsia="es-ES"/>
        </w:rPr>
        <w:t>6. Bibliografia</w:t>
      </w:r>
    </w:p>
    <w:p>
      <w:pPr>
        <w:pStyle w:val="ListParagraph"/>
        <w:numPr>
          <w:ilvl w:val="0"/>
          <w:numId w:val="9"/>
        </w:numPr>
        <w:spacing w:lineRule="auto" w:line="360"/>
        <w:ind w:left="360" w:hanging="360"/>
        <w:jc w:val="both"/>
        <w:rPr/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>Barreiro, F. (2003). El capital social: què és i com es mesura.</w:t>
      </w:r>
      <w:r>
        <w:rPr>
          <w:rFonts w:eastAsia="Times New Roman" w:cs="Calibri"/>
          <w:i/>
          <w:iCs/>
          <w:color w:val="000000"/>
          <w:sz w:val="24"/>
          <w:szCs w:val="24"/>
          <w:lang w:val="ca-ES" w:eastAsia="es-ES"/>
        </w:rPr>
        <w:t xml:space="preserve"> Institut d’Edicions de la Diputació de Barcelona. </w:t>
      </w:r>
      <w:r>
        <w:rPr>
          <w:lang w:val="ca-ES"/>
        </w:rPr>
        <w:t xml:space="preserve"> </w:t>
      </w:r>
      <w:hyperlink r:id="rId3">
        <w:r>
          <w:rPr>
            <w:rStyle w:val="EnlladInternet"/>
            <w:rFonts w:eastAsia="Times New Roman" w:cs="Calibri"/>
            <w:sz w:val="24"/>
            <w:szCs w:val="24"/>
            <w:lang w:val="ca-ES" w:eastAsia="es-ES"/>
          </w:rPr>
          <w:t>https://www1.diba.cat/llibreria/pdf/42119.pdf</w:t>
        </w:r>
      </w:hyperlink>
    </w:p>
    <w:p>
      <w:pPr>
        <w:pStyle w:val="ListParagraph"/>
        <w:numPr>
          <w:ilvl w:val="0"/>
          <w:numId w:val="9"/>
        </w:numPr>
        <w:spacing w:lineRule="auto" w:line="360"/>
        <w:ind w:left="360" w:hanging="360"/>
        <w:jc w:val="both"/>
        <w:rPr/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Brugué, J. (2008). Transversalidad: del concepto a la práctica, de las ideas a los resultados. (IGOP-UAB). Fundación Kaleidos-red. </w:t>
      </w:r>
      <w:hyperlink r:id="rId4">
        <w:r>
          <w:rPr>
            <w:rStyle w:val="ListLabel72"/>
            <w:rFonts w:eastAsia="Times New Roman" w:cs="Calibri"/>
            <w:color w:val="1155CC"/>
            <w:sz w:val="24"/>
            <w:szCs w:val="24"/>
            <w:u w:val="single"/>
            <w:lang w:val="ca-ES" w:eastAsia="es-ES"/>
          </w:rPr>
          <w:t>https://www.tarragona.cat/serveis-a-la-persona/serveis-socials/observatori-social-de-la-ciutat-de-tarragona/fitxers/altres/treballem-en-xarxa/transversalitat-del-concepte-a-la-practica</w:t>
        </w:r>
      </w:hyperlink>
    </w:p>
    <w:p>
      <w:pPr>
        <w:pStyle w:val="ListParagraph"/>
        <w:numPr>
          <w:ilvl w:val="0"/>
          <w:numId w:val="9"/>
        </w:numPr>
        <w:spacing w:lineRule="auto" w:line="360"/>
        <w:ind w:left="360" w:hanging="360"/>
        <w:jc w:val="both"/>
        <w:rPr/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Pla d’inclusió i Cohesió social d’Olot 2013-2016: </w:t>
      </w:r>
      <w:hyperlink r:id="rId5">
        <w:r>
          <w:rPr>
            <w:rStyle w:val="ListLabel72"/>
            <w:rFonts w:eastAsia="Times New Roman" w:cs="Calibri"/>
            <w:color w:val="1155CC"/>
            <w:sz w:val="24"/>
            <w:szCs w:val="24"/>
            <w:u w:val="single"/>
            <w:lang w:val="ca-ES" w:eastAsia="es-ES"/>
          </w:rPr>
          <w:t>https://www.casg.cat/wp-content/uploads/2013/05/pla-inclusio-i-cohesio-social-olot-2013-2019.pdf</w:t>
        </w:r>
      </w:hyperlink>
    </w:p>
    <w:p>
      <w:pPr>
        <w:pStyle w:val="ListParagraph"/>
        <w:numPr>
          <w:ilvl w:val="0"/>
          <w:numId w:val="9"/>
        </w:numPr>
        <w:spacing w:lineRule="auto" w:line="36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val="ca-ES" w:eastAsia="es-ES"/>
        </w:rPr>
      </w:pP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Morales, E. (2016) Empoderamiento y transformación de las relaciones de poder. Un análisis crítico de los procesos institucionales de participación ciudadana. </w:t>
      </w:r>
      <w:r>
        <w:rPr>
          <w:rFonts w:eastAsia="Times New Roman" w:cs="Calibri"/>
          <w:i/>
          <w:iCs/>
          <w:color w:val="000000"/>
          <w:sz w:val="24"/>
          <w:szCs w:val="24"/>
          <w:lang w:val="ca-ES" w:eastAsia="es-ES"/>
        </w:rPr>
        <w:t>Universitat Autònoma de Barcelona</w:t>
      </w:r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.  </w:t>
      </w:r>
    </w:p>
    <w:p>
      <w:pPr>
        <w:pStyle w:val="ListParagraph"/>
        <w:spacing w:lineRule="auto" w:line="360"/>
        <w:ind w:left="360" w:hanging="0"/>
        <w:jc w:val="both"/>
        <w:rPr/>
      </w:pPr>
      <w:r>
        <w:rPr>
          <w:lang w:val="ca-ES"/>
        </w:rPr>
        <w:t xml:space="preserve"> </w:t>
      </w:r>
      <w:r>
        <w:fldChar w:fldCharType="begin"/>
      </w:r>
      <w:r>
        <w:rPr>
          <w:rStyle w:val="EnlladInternet"/>
          <w:sz w:val="24"/>
          <w:szCs w:val="24"/>
          <w:rFonts w:eastAsia="Times New Roman" w:cs="Calibri"/>
        </w:rPr>
        <w:instrText> HYPERLINK "https://www.tdx.cat/handle/10803/400078" \l "page=1"</w:instrText>
      </w:r>
      <w:r>
        <w:rPr>
          <w:rStyle w:val="EnlladInternet"/>
          <w:sz w:val="24"/>
          <w:szCs w:val="24"/>
          <w:rFonts w:eastAsia="Times New Roman" w:cs="Calibri"/>
        </w:rPr>
        <w:fldChar w:fldCharType="separate"/>
      </w:r>
      <w:r>
        <w:rPr>
          <w:rStyle w:val="EnlladInternet"/>
          <w:rFonts w:eastAsia="Times New Roman" w:cs="Calibri"/>
          <w:sz w:val="24"/>
          <w:szCs w:val="24"/>
          <w:lang w:val="ca-ES" w:eastAsia="es-ES"/>
        </w:rPr>
        <w:t>https://www.tdx.cat/handle/10803/400078#page=1</w:t>
      </w:r>
      <w:r>
        <w:rPr>
          <w:rStyle w:val="EnlladInternet"/>
          <w:sz w:val="24"/>
          <w:szCs w:val="24"/>
          <w:rFonts w:eastAsia="Times New Roman" w:cs="Calibri"/>
        </w:rPr>
        <w:fldChar w:fldCharType="end"/>
      </w:r>
    </w:p>
    <w:p>
      <w:pPr>
        <w:pStyle w:val="ListParagraph"/>
        <w:numPr>
          <w:ilvl w:val="0"/>
          <w:numId w:val="9"/>
        </w:numPr>
        <w:spacing w:lineRule="auto" w:line="360"/>
        <w:ind w:left="360" w:hanging="360"/>
        <w:jc w:val="both"/>
        <w:rPr/>
      </w:pPr>
      <w:r>
        <w:rPr>
          <w:color w:val="000000"/>
          <w:sz w:val="24"/>
          <w:szCs w:val="24"/>
        </w:rPr>
        <w:t xml:space="preserve">Ojeda, H., Urbano, X (2015). </w:t>
      </w:r>
      <w:hyperlink r:id="rId6">
        <w:r>
          <w:rPr>
            <w:rStyle w:val="ListLabel73"/>
            <w:rFonts w:eastAsia="Times New Roman" w:cs="Calibri"/>
            <w:color w:val="000000"/>
            <w:sz w:val="24"/>
            <w:szCs w:val="24"/>
            <w:lang w:val="ca-ES" w:eastAsia="es-ES"/>
          </w:rPr>
          <w:t>Cultura i gestió comunitària. públic significa “de la comunitat”, no “del govern”</w:t>
        </w:r>
      </w:hyperlink>
      <w:r>
        <w:rPr>
          <w:rFonts w:eastAsia="Times New Roman" w:cs="Calibri"/>
          <w:color w:val="000000"/>
          <w:sz w:val="24"/>
          <w:szCs w:val="24"/>
          <w:lang w:val="ca-ES" w:eastAsia="es-ES"/>
        </w:rPr>
        <w:t xml:space="preserve">. Espai Fàbrica. </w:t>
      </w:r>
      <w:hyperlink r:id="rId7">
        <w:r>
          <w:rPr>
            <w:rStyle w:val="EnlladInternet"/>
          </w:rPr>
          <w:t>http://interaccio.</w:t>
        </w:r>
        <w:r>
          <w:rPr>
            <w:rStyle w:val="EnlladInternet"/>
            <w:sz w:val="24"/>
          </w:rPr>
          <w:t>diba</w:t>
        </w:r>
        <w:r>
          <w:rPr>
            <w:rStyle w:val="EnlladInternet"/>
          </w:rPr>
          <w:t>.cat/CIDOC/blogs/2015/cultura-gestio-comunitaria-public-significa-comunitat-no-del-govern</w:t>
        </w:r>
      </w:hyperlink>
    </w:p>
    <w:p>
      <w:pPr>
        <w:pStyle w:val="ListParagraph"/>
        <w:numPr>
          <w:ilvl w:val="0"/>
          <w:numId w:val="9"/>
        </w:numPr>
        <w:spacing w:lineRule="auto" w:line="360"/>
        <w:ind w:left="360" w:hanging="360"/>
        <w:jc w:val="both"/>
        <w:rPr/>
      </w:pPr>
      <w:r>
        <w:rPr/>
        <w:t xml:space="preserve">Peribáñez, A. (2015). Eduquem per a la transformació social. Revista El Correu. </w:t>
      </w:r>
      <w:hyperlink r:id="rId8">
        <w:r>
          <w:rPr>
            <w:rStyle w:val="EnlladInternet"/>
          </w:rPr>
          <w:t>https://www.escoltesiguies.cat/noticia/21792/reportatge-eduquem-per-a-la-transformacio-social</w:t>
        </w:r>
      </w:hyperlink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headerReference w:type="default" r:id="rId9"/>
      <w:type w:val="nextPage"/>
      <w:pgSz w:w="11906" w:h="16838"/>
      <w:pgMar w:left="1701" w:right="1701" w:header="1417" w:top="170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style="position:absolute;margin-left:0.05pt;margin-top:316.45pt;width:425.15pt;height:53.05pt;rotation:315;mso-position-horizontal:center;mso-position-horizontal-relative:margin;mso-position-vertical:center;mso-position-vertical-relative:margin" type="shapetype_136">
          <v:path textpathok="t"/>
          <v:textpath on="t" fitshape="t" string="Document de treball" trim="t" style="font-family:&quot;Liberation Sans&quot;;font-size:1pt"/>
          <w10:wrap type="none"/>
          <v:fill o:detectmouseclick="t" type="solid" color2="#3f3f3f" opacity="0.64"/>
          <v:stroke color="#3465a4" joinstyle="round" endcap="flat"/>
        </v:shape>
      </w:pict>
    </w:r>
    <w:bookmarkStart w:id="1" w:name="__UnoMark__156_2990914158"/>
    <w:bookmarkStart w:id="2" w:name="__UnoMark__156_2990914158"/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szCs w:val="28"/>
        <w:bCs/>
        <w:rFonts w:ascii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cs="Calibri"/>
        <w:color w:val="222222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-39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-49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94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66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10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382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262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Encapalament2">
    <w:name w:val="Heading 2"/>
    <w:basedOn w:val="Normal"/>
    <w:link w:val="Ttulo2Car"/>
    <w:uiPriority w:val="9"/>
    <w:qFormat/>
    <w:rsid w:val="006146c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ca-ES" w:eastAsia="ca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034206"/>
    <w:rPr/>
  </w:style>
  <w:style w:type="character" w:styleId="EnlladInternet">
    <w:name w:val="Enllaç d'Internet"/>
    <w:basedOn w:val="DefaultParagraphFont"/>
    <w:uiPriority w:val="99"/>
    <w:unhideWhenUsed/>
    <w:rsid w:val="00034206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e4eec"/>
    <w:rPr>
      <w:color w:val="605E5C"/>
      <w:shd w:fill="E1DFDD" w:val="clear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6146c3"/>
    <w:rPr>
      <w:rFonts w:ascii="Times New Roman" w:hAnsi="Times New Roman" w:eastAsia="Times New Roman" w:cs="Times New Roman"/>
      <w:b/>
      <w:bCs/>
      <w:sz w:val="36"/>
      <w:szCs w:val="36"/>
      <w:lang w:val="ca-ES" w:eastAsia="ca-ES"/>
    </w:rPr>
  </w:style>
  <w:style w:type="character" w:styleId="ListLabel1">
    <w:name w:val="ListLabel 1"/>
    <w:qFormat/>
    <w:rPr>
      <w:rFonts w:ascii="Times New Roman" w:hAnsi="Times New Roman" w:cs="Calibri"/>
      <w:b/>
      <w:bCs/>
      <w:sz w:val="24"/>
      <w:szCs w:val="28"/>
    </w:rPr>
  </w:style>
  <w:style w:type="character" w:styleId="ListLabel2">
    <w:name w:val="ListLabel 2"/>
    <w:qFormat/>
    <w:rPr>
      <w:rFonts w:ascii="Calibri" w:hAnsi="Calibri" w:cs="Courier New"/>
      <w:sz w:val="24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Calibri" w:hAnsi="Calibri"/>
      <w:sz w:val="24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ascii="Calibri" w:hAnsi="Calibri" w:cs="Courier New"/>
      <w:sz w:val="24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cs="Calibri"/>
      <w:color w:val="222222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rFonts w:ascii="Calibri" w:hAnsi="Calibri"/>
      <w:sz w:val="24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ascii="Calibri" w:hAnsi="Calibri"/>
      <w:sz w:val="24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rFonts w:ascii="Calibri" w:hAnsi="Calibri"/>
      <w:sz w:val="24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ascii="Calibri" w:hAnsi="Calibri" w:eastAsia="Times New Roman" w:cs="Calibri"/>
      <w:sz w:val="24"/>
      <w:szCs w:val="24"/>
      <w:lang w:val="ca-ES" w:eastAsia="es-ES"/>
    </w:rPr>
  </w:style>
  <w:style w:type="character" w:styleId="ListLabel72">
    <w:name w:val="ListLabel 72"/>
    <w:qFormat/>
    <w:rPr>
      <w:rFonts w:ascii="Calibri" w:hAnsi="Calibri" w:eastAsia="Times New Roman" w:cs="Calibri"/>
      <w:color w:val="1155CC"/>
      <w:sz w:val="24"/>
      <w:szCs w:val="24"/>
      <w:u w:val="single"/>
      <w:lang w:val="ca-ES" w:eastAsia="es-ES"/>
    </w:rPr>
  </w:style>
  <w:style w:type="character" w:styleId="ListLabel73">
    <w:name w:val="ListLabel 73"/>
    <w:qFormat/>
    <w:rPr>
      <w:rFonts w:ascii="Calibri" w:hAnsi="Calibri" w:eastAsia="Times New Roman" w:cs="Calibri"/>
      <w:color w:val="000000"/>
      <w:sz w:val="24"/>
      <w:szCs w:val="24"/>
      <w:lang w:val="ca-ES" w:eastAsia="es-ES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sz w:val="24"/>
    </w:rPr>
  </w:style>
  <w:style w:type="character" w:styleId="ListLabel76">
    <w:name w:val="ListLabel 76"/>
    <w:qFormat/>
    <w:rPr>
      <w:rFonts w:ascii="Times New Roman" w:hAnsi="Times New Roman" w:cs="Calibri"/>
      <w:b/>
      <w:bCs/>
      <w:sz w:val="24"/>
      <w:szCs w:val="28"/>
    </w:rPr>
  </w:style>
  <w:style w:type="character" w:styleId="ListLabel77">
    <w:name w:val="ListLabel 77"/>
    <w:qFormat/>
    <w:rPr>
      <w:rFonts w:ascii="Calibri" w:hAnsi="Calibri" w:cs="Courier New"/>
      <w:sz w:val="24"/>
    </w:rPr>
  </w:style>
  <w:style w:type="character" w:styleId="ListLabel78">
    <w:name w:val="ListLabel 78"/>
    <w:qFormat/>
    <w:rPr>
      <w:rFonts w:cs="Courier New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ascii="Calibri" w:hAnsi="Calibri" w:cs="Symbol"/>
      <w:sz w:val="24"/>
    </w:rPr>
  </w:style>
  <w:style w:type="character" w:styleId="ListLabel87">
    <w:name w:val="ListLabel 87"/>
    <w:qFormat/>
    <w:rPr>
      <w:rFonts w:cs="Courier New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Wingdings"/>
      <w:sz w:val="20"/>
    </w:rPr>
  </w:style>
  <w:style w:type="character" w:styleId="ListLabel92">
    <w:name w:val="ListLabel 92"/>
    <w:qFormat/>
    <w:rPr>
      <w:rFonts w:cs="Wingdings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ascii="Calibri" w:hAnsi="Calibri" w:cs="Courier New"/>
      <w:sz w:val="24"/>
    </w:rPr>
  </w:style>
  <w:style w:type="character" w:styleId="ListLabel96">
    <w:name w:val="ListLabel 96"/>
    <w:qFormat/>
    <w:rPr>
      <w:rFonts w:cs="Courier New"/>
      <w:sz w:val="20"/>
    </w:rPr>
  </w:style>
  <w:style w:type="character" w:styleId="ListLabel97">
    <w:name w:val="ListLabel 97"/>
    <w:qFormat/>
    <w:rPr>
      <w:rFonts w:cs="Calibri"/>
      <w:color w:val="222222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Wingdings"/>
      <w:sz w:val="20"/>
    </w:rPr>
  </w:style>
  <w:style w:type="character" w:styleId="ListLabel101">
    <w:name w:val="ListLabel 101"/>
    <w:qFormat/>
    <w:rPr>
      <w:rFonts w:cs="Wingdings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Symbol"/>
      <w:sz w:val="20"/>
    </w:rPr>
  </w:style>
  <w:style w:type="character" w:styleId="ListLabel105">
    <w:name w:val="ListLabel 105"/>
    <w:qFormat/>
    <w:rPr>
      <w:rFonts w:ascii="Calibri" w:hAnsi="Calibri" w:cs="Courier New"/>
      <w:sz w:val="24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cs="Wingdings"/>
      <w:sz w:val="20"/>
    </w:rPr>
  </w:style>
  <w:style w:type="character" w:styleId="ListLabel110">
    <w:name w:val="ListLabel 110"/>
    <w:qFormat/>
    <w:rPr>
      <w:rFonts w:cs="Wingdings"/>
      <w:sz w:val="20"/>
    </w:rPr>
  </w:style>
  <w:style w:type="character" w:styleId="ListLabel111">
    <w:name w:val="ListLabel 111"/>
    <w:qFormat/>
    <w:rPr>
      <w:rFonts w:cs="Wingdings"/>
      <w:sz w:val="20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ascii="Calibri" w:hAnsi="Calibri" w:cs="Symbol"/>
      <w:sz w:val="24"/>
    </w:rPr>
  </w:style>
  <w:style w:type="character" w:styleId="ListLabel114">
    <w:name w:val="ListLabel 114"/>
    <w:qFormat/>
    <w:rPr>
      <w:rFonts w:cs="Courier New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Wingdings"/>
      <w:sz w:val="20"/>
    </w:rPr>
  </w:style>
  <w:style w:type="character" w:styleId="ListLabel119">
    <w:name w:val="ListLabel 119"/>
    <w:qFormat/>
    <w:rPr>
      <w:rFonts w:cs="Wingdings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Wingdings"/>
      <w:sz w:val="20"/>
    </w:rPr>
  </w:style>
  <w:style w:type="character" w:styleId="ListLabel122">
    <w:name w:val="ListLabel 122"/>
    <w:qFormat/>
    <w:rPr>
      <w:rFonts w:cs="Symbol"/>
      <w:sz w:val="20"/>
    </w:rPr>
  </w:style>
  <w:style w:type="character" w:styleId="ListLabel123">
    <w:name w:val="ListLabel 123"/>
    <w:qFormat/>
    <w:rPr>
      <w:rFonts w:ascii="Calibri" w:hAnsi="Calibri" w:cs="Courier New"/>
      <w:sz w:val="24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qFormat/>
    <w:rPr>
      <w:rFonts w:cs="Wingdings"/>
      <w:sz w:val="20"/>
    </w:rPr>
  </w:style>
  <w:style w:type="character" w:styleId="ListLabel127">
    <w:name w:val="ListLabel 127"/>
    <w:qFormat/>
    <w:rPr>
      <w:rFonts w:cs="Wingdings"/>
      <w:sz w:val="20"/>
    </w:rPr>
  </w:style>
  <w:style w:type="character" w:styleId="ListLabel128">
    <w:name w:val="ListLabel 128"/>
    <w:qFormat/>
    <w:rPr>
      <w:rFonts w:cs="Wingdings"/>
      <w:sz w:val="20"/>
    </w:rPr>
  </w:style>
  <w:style w:type="character" w:styleId="ListLabel129">
    <w:name w:val="ListLabel 129"/>
    <w:qFormat/>
    <w:rPr>
      <w:rFonts w:cs="Wingdings"/>
      <w:sz w:val="20"/>
    </w:rPr>
  </w:style>
  <w:style w:type="character" w:styleId="ListLabel130">
    <w:name w:val="ListLabel 130"/>
    <w:qFormat/>
    <w:rPr>
      <w:rFonts w:cs="Wingdings"/>
      <w:sz w:val="20"/>
    </w:rPr>
  </w:style>
  <w:style w:type="character" w:styleId="ListLabel131">
    <w:name w:val="ListLabel 131"/>
    <w:qFormat/>
    <w:rPr>
      <w:rFonts w:ascii="Times New Roman" w:hAnsi="Times New Roman" w:cs="Symbol"/>
      <w:sz w:val="24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ascii="Times New Roman" w:hAnsi="Times New Roman" w:cs="Symbol"/>
      <w:sz w:val="24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eastAsia="Times New Roman" w:cs="Calibri"/>
      <w:sz w:val="24"/>
      <w:szCs w:val="24"/>
      <w:lang w:val="ca-ES" w:eastAsia="es-ES"/>
    </w:rPr>
  </w:style>
  <w:style w:type="character" w:styleId="ListLabel150">
    <w:name w:val="ListLabel 150"/>
    <w:qFormat/>
    <w:rPr>
      <w:rFonts w:eastAsia="Times New Roman" w:cs="Calibri"/>
      <w:color w:val="1155CC"/>
      <w:sz w:val="24"/>
      <w:szCs w:val="24"/>
      <w:u w:val="single"/>
      <w:lang w:val="ca-ES" w:eastAsia="es-ES"/>
    </w:rPr>
  </w:style>
  <w:style w:type="character" w:styleId="ListLabel151">
    <w:name w:val="ListLabel 151"/>
    <w:qFormat/>
    <w:rPr>
      <w:rFonts w:eastAsia="Times New Roman" w:cs="Calibri"/>
      <w:color w:val="000000"/>
      <w:sz w:val="24"/>
      <w:szCs w:val="24"/>
      <w:lang w:val="ca-ES" w:eastAsia="es-ES"/>
    </w:rPr>
  </w:style>
  <w:style w:type="character" w:styleId="ListLabel152">
    <w:name w:val="ListLabel 152"/>
    <w:qFormat/>
    <w:rPr/>
  </w:style>
  <w:style w:type="character" w:styleId="ListLabel153">
    <w:name w:val="ListLabel 153"/>
    <w:qFormat/>
    <w:rPr>
      <w:sz w:val="24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0342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034206"/>
    <w:pPr>
      <w:spacing w:before="0" w:after="160"/>
      <w:ind w:left="720" w:hanging="0"/>
      <w:contextualSpacing/>
    </w:pPr>
    <w:rPr/>
  </w:style>
  <w:style w:type="paragraph" w:styleId="Capalera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1.diba.cat/llibreria/pdf/42119.pdf" TargetMode="External"/><Relationship Id="rId4" Type="http://schemas.openxmlformats.org/officeDocument/2006/relationships/hyperlink" Target="https://www.tarragona.cat/serveis-a-la-persona/serveis-socials/observatori-social-de-la-ciutat-de-tarragona/fitxers/altres/treballem-en-xarxa/transversalitat-del-concepte-a-la-practica" TargetMode="External"/><Relationship Id="rId5" Type="http://schemas.openxmlformats.org/officeDocument/2006/relationships/hyperlink" Target="https://www.casg.cat/wp-content/uploads/2013/05/pla-inclusio-i-cohesio-social-olot-2013-2019.pdf" TargetMode="External"/><Relationship Id="rId6" Type="http://schemas.openxmlformats.org/officeDocument/2006/relationships/hyperlink" Target="http://interaccio.diba.cat/CIDOC/blogs/2015/cultura-gestio-comunitaria-public-significa-comunitat-no-del-govern" TargetMode="External"/><Relationship Id="rId7" Type="http://schemas.openxmlformats.org/officeDocument/2006/relationships/hyperlink" Target="http://interaccio.diba.cat/CIDOC/blogs/2015/cultura-gestio-comunitaria-public-significa-comunitat-no-del-govern" TargetMode="External"/><Relationship Id="rId8" Type="http://schemas.openxmlformats.org/officeDocument/2006/relationships/hyperlink" Target="https://www.escoltesiguies.cat/noticia/21792/reportatge-eduquem-per-a-la-transformacio-social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11</Pages>
  <Words>2266</Words>
  <Characters>12927</Characters>
  <CharactersWithSpaces>15122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2019-09-01T16:33:00Z</dcterms:created>
  <dc:creator>+Educació</dc:creator>
  <dc:description/>
  <dc:language>ca-ES</dc:language>
  <cp:lastModifiedBy/>
  <dcterms:modified xsi:type="dcterms:W3CDTF">2019-09-05T14:18:14Z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